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77" w:rsidRPr="00E4375A" w:rsidRDefault="00745BD6" w:rsidP="00DD32D7">
      <w:pPr>
        <w:jc w:val="both"/>
        <w:rPr>
          <w:rFonts w:cstheme="minorHAnsi"/>
        </w:rPr>
      </w:pPr>
      <w:r w:rsidRPr="00E4375A">
        <w:rPr>
          <w:rFonts w:cstheme="minorHAnsi"/>
        </w:rPr>
        <w:t xml:space="preserve">Kartal Halı A.Ş. </w:t>
      </w:r>
      <w:r w:rsidR="0064741C" w:rsidRPr="00E4375A">
        <w:rPr>
          <w:rFonts w:cstheme="minorHAnsi"/>
        </w:rPr>
        <w:t>İklim Değişikliği Politikasının amacı halı ve iplik sanayi alanlarında, sürekli iyileştirme ilkesiyle tüm süreçlerde çevresel etkileri yasal ve diğer şartlara uygun olarak azaltarak kirliliğin önlenmesini sağlamak ve iklim değişikliği ile mücadeleyi göz önünde bulundurarak çevresel sürdürülebilirliğe katkıda bulunmaktır</w:t>
      </w:r>
      <w:r w:rsidR="00A3794C" w:rsidRPr="00E4375A">
        <w:rPr>
          <w:rFonts w:cstheme="minorHAnsi"/>
        </w:rPr>
        <w:t>.</w:t>
      </w:r>
    </w:p>
    <w:p w:rsidR="0064741C" w:rsidRPr="00E4375A" w:rsidRDefault="00745BD6" w:rsidP="00DD32D7">
      <w:pPr>
        <w:jc w:val="both"/>
        <w:rPr>
          <w:rFonts w:cstheme="minorHAnsi"/>
        </w:rPr>
      </w:pPr>
      <w:r w:rsidRPr="00E4375A">
        <w:rPr>
          <w:rFonts w:cstheme="minorHAnsi"/>
        </w:rPr>
        <w:t>Kartal Halı A.Ş.</w:t>
      </w:r>
      <w:r w:rsidR="00A3794C" w:rsidRPr="00E4375A">
        <w:rPr>
          <w:rFonts w:cstheme="minorHAnsi"/>
        </w:rPr>
        <w:t xml:space="preserve"> İklim Değişikliği Politikası, Kartal Halı’nın bağlamına ve amacına uygun stratejik istikametini destekler, çevre ve iklim değişikliği hedeflerinin belirlenmesi için bir çerçeve sağlar, uygulanabilir şartların yerine getirilmesi ve çevre yönetim sisteminin sürekli iyileştirilmesi için taahhüt içerir.</w:t>
      </w:r>
    </w:p>
    <w:p w:rsidR="00A078B1" w:rsidRPr="00E4375A" w:rsidRDefault="00A3794C" w:rsidP="00A078B1">
      <w:pPr>
        <w:jc w:val="both"/>
        <w:rPr>
          <w:rFonts w:cstheme="minorHAnsi"/>
        </w:rPr>
      </w:pPr>
      <w:r w:rsidRPr="00E4375A">
        <w:rPr>
          <w:rFonts w:cstheme="minorHAnsi"/>
        </w:rPr>
        <w:t>Kartal Halı, çevre ve iklim değişikliği ile ilgili konuları üst yönetimin öncülüğünde ele alır ve entegre yönetim sistemine bağlı çalışma grupları ile performans ve ilerlemeleri takip eder.</w:t>
      </w:r>
      <w:r w:rsidR="00DD32D7" w:rsidRPr="00E4375A">
        <w:rPr>
          <w:rFonts w:cstheme="minorHAnsi"/>
        </w:rPr>
        <w:t xml:space="preserve"> ARGE ve tasarım aşamasından başlayarak tüm faaliyetlerinde bütüncül, döngüsel ve kaynak etkin yaklaşımlarla sürdürülebilirliği ve iklim değişikliği ile mücadele ve uyumu göz önünde bulundurur.</w:t>
      </w:r>
    </w:p>
    <w:p w:rsidR="0064741C" w:rsidRPr="00E4375A" w:rsidRDefault="00A078B1" w:rsidP="00391260">
      <w:pPr>
        <w:jc w:val="both"/>
        <w:rPr>
          <w:rFonts w:cstheme="minorHAnsi"/>
        </w:rPr>
      </w:pPr>
      <w:r w:rsidRPr="00E4375A">
        <w:rPr>
          <w:rFonts w:cstheme="minorHAnsi"/>
        </w:rPr>
        <w:t>ISO 14001 Çevre Yönetim Sistemi standardına ve çevre yönetimi ve iklim değişikliği uygulamaları ile ilgili tüm yasal mevzuat ve diğer ulusal / uluslararası şartlara (müşteri gereklilikleri, sosyal sorumluluk taahhütleri, ilgili taraflarla yapılan sözleşmeler, uluslararası yaptırımlar vb.) uymayı taahhüt eder.</w:t>
      </w:r>
    </w:p>
    <w:p w:rsidR="00391260" w:rsidRPr="00E4375A" w:rsidRDefault="00E3099E" w:rsidP="00391260">
      <w:pPr>
        <w:jc w:val="both"/>
        <w:rPr>
          <w:rFonts w:cstheme="minorHAnsi"/>
        </w:rPr>
      </w:pPr>
      <w:r w:rsidRPr="00E4375A">
        <w:rPr>
          <w:rFonts w:cstheme="minorHAnsi"/>
        </w:rPr>
        <w:t>Kartal Halı, kuruluşun amacı, stratejik yönü ve bağlamı kapsamına giren iç ve dış hususları tayin eder ve bu hususlara uyum sağlar.</w:t>
      </w:r>
      <w:r w:rsidR="00D75B8F" w:rsidRPr="00E4375A">
        <w:rPr>
          <w:rFonts w:cstheme="minorHAnsi"/>
        </w:rPr>
        <w:t xml:space="preserve"> Fabrika bünyesindeki tüm kurulu ISO sistemleri kapsamında İklim Değişikliği ile ilgili hususlar analiz edilerek iş süreçlerimize ve proseslerimize </w:t>
      </w:r>
      <w:proofErr w:type="gramStart"/>
      <w:r w:rsidR="00D75B8F" w:rsidRPr="00E4375A">
        <w:rPr>
          <w:rFonts w:cstheme="minorHAnsi"/>
        </w:rPr>
        <w:t>entegre</w:t>
      </w:r>
      <w:proofErr w:type="gramEnd"/>
      <w:r w:rsidR="00D75B8F" w:rsidRPr="00E4375A">
        <w:rPr>
          <w:rFonts w:cstheme="minorHAnsi"/>
        </w:rPr>
        <w:t xml:space="preserve"> edilecek ve gereksinimlerine uygunluk sağlanacaktır. </w:t>
      </w:r>
    </w:p>
    <w:p w:rsidR="00362763" w:rsidRPr="00E4375A" w:rsidRDefault="007A1C8E" w:rsidP="00362763">
      <w:pPr>
        <w:jc w:val="both"/>
        <w:rPr>
          <w:rFonts w:cstheme="minorHAnsi"/>
        </w:rPr>
      </w:pPr>
      <w:r w:rsidRPr="00E4375A">
        <w:rPr>
          <w:rFonts w:cstheme="minorHAnsi"/>
        </w:rPr>
        <w:t>T.C. yasaları, yönetmelikler, genelgeler ve işin gerektirdiği yasal mevzuat ile belirlenmiş gereksinimler ile uluslararası anlaşmalardan doğan yükümlülükler karşılanacak, iç ve dış paydaşlara yönelik sorumluluklardan kaynaklanan iklim değişikliği ve karbon ayak izinin azaltılması ile ilgili gereksinimler sağlanacak ve bunlar ile ilgili uyumlu çalışmalar yapılacaktır.</w:t>
      </w:r>
      <w:r w:rsidR="00362763" w:rsidRPr="00E4375A">
        <w:rPr>
          <w:rFonts w:cstheme="minorHAnsi"/>
        </w:rPr>
        <w:t xml:space="preserve"> İklim değişikliği etkilerine uyum sağlamak, iklim olaylarının etkileriyle mücadele etmek ve bu etkileri yönetmek için stratejiler geliştirmek gerekmektedir.</w:t>
      </w:r>
    </w:p>
    <w:p w:rsidR="001C659F" w:rsidRPr="00E4375A" w:rsidRDefault="001C659F" w:rsidP="001C659F">
      <w:pPr>
        <w:jc w:val="both"/>
        <w:rPr>
          <w:rFonts w:cstheme="minorHAnsi"/>
        </w:rPr>
      </w:pPr>
      <w:r w:rsidRPr="00E4375A">
        <w:rPr>
          <w:rFonts w:cstheme="minorHAnsi"/>
        </w:rPr>
        <w:t xml:space="preserve">Kartal Halı A.Ş. iklim değişikliğiyle mücadelede tüm paydaşların katılımıyla bilimsel yöntemlere dayalı, çevresel, sosyolojik, ekonomik, teknolojik ve finansal unsurları dikkate alarak çalışmalarını yürütecektir. Fabrikamız, politika ve stratejilerin belirlenmesi, iklim değişikliğine uyum ve sera gazı emisyonun azaltılması hedefleri çerçevesinde de çalışmalarını yürütecektir. </w:t>
      </w:r>
    </w:p>
    <w:p w:rsidR="006F5419" w:rsidRPr="00E4375A" w:rsidRDefault="006F5419" w:rsidP="006574E1">
      <w:pPr>
        <w:jc w:val="both"/>
        <w:rPr>
          <w:rFonts w:cstheme="minorHAnsi"/>
        </w:rPr>
      </w:pPr>
      <w:r w:rsidRPr="00E4375A">
        <w:rPr>
          <w:rFonts w:cstheme="minorHAnsi"/>
        </w:rPr>
        <w:t xml:space="preserve">Fabrikamızda enerji tüketimi ve enerji kullanımının azaltılması için çalışmalar sağlanacaktır. </w:t>
      </w:r>
      <w:r w:rsidR="006574E1" w:rsidRPr="00E4375A">
        <w:rPr>
          <w:rFonts w:cstheme="minorHAnsi"/>
        </w:rPr>
        <w:t>Kartal Halı, çevresel sürdürülebilirlik yaklaşımı ve iklim değişikliği ile mücadele ve uyum kapsamında; sıfır atık yönetimi, yenilenebilir enerji ve geri dönüşüme dayalı malzeme kullanımı, döngüsel ekonomi modellerinin uygulanması, doğal kaynakların verimli kullanımı, sera gazı emisyonlarının azaltılması ve atık oluşumunun azaltılmasına yönelik çevre dostu malzemelerin kullanımını, yenilikçi uygulamaları ve yeni teknolojileri teşvik eder.</w:t>
      </w:r>
    </w:p>
    <w:p w:rsidR="00DD6557" w:rsidRPr="00E4375A" w:rsidRDefault="006F5419">
      <w:pPr>
        <w:rPr>
          <w:rFonts w:cstheme="minorHAnsi"/>
        </w:rPr>
      </w:pPr>
      <w:r w:rsidRPr="00E4375A">
        <w:rPr>
          <w:rFonts w:cstheme="minorHAnsi"/>
        </w:rPr>
        <w:t>İklim değişikliği açısından risklerin değerlendirilmesi yapılarak, tespit edilen risklerin kabul edilebilir düzeylere indirilmesi sağlanacak</w:t>
      </w:r>
      <w:r w:rsidR="00DD6557" w:rsidRPr="00E4375A">
        <w:rPr>
          <w:rFonts w:cstheme="minorHAnsi"/>
        </w:rPr>
        <w:t>tır</w:t>
      </w:r>
      <w:r w:rsidRPr="00E4375A">
        <w:rPr>
          <w:rFonts w:cstheme="minorHAnsi"/>
        </w:rPr>
        <w:t xml:space="preserve">. </w:t>
      </w:r>
    </w:p>
    <w:p w:rsidR="00DD6557" w:rsidRPr="00E4375A" w:rsidRDefault="006F5419">
      <w:pPr>
        <w:rPr>
          <w:rFonts w:cstheme="minorHAnsi"/>
        </w:rPr>
      </w:pPr>
      <w:r w:rsidRPr="00E4375A">
        <w:rPr>
          <w:rFonts w:cstheme="minorHAnsi"/>
        </w:rPr>
        <w:lastRenderedPageBreak/>
        <w:t>Tüm çalışanlarımızın iklim değ</w:t>
      </w:r>
      <w:r w:rsidR="00DD6557" w:rsidRPr="00E4375A">
        <w:rPr>
          <w:rFonts w:cstheme="minorHAnsi"/>
        </w:rPr>
        <w:t xml:space="preserve">işikliği farkındalığını arttırarak, </w:t>
      </w:r>
      <w:r w:rsidRPr="00E4375A">
        <w:rPr>
          <w:rFonts w:cstheme="minorHAnsi"/>
        </w:rPr>
        <w:t>sistemin işleyişine katkıda bulunmasını teşvik edecek eğitimler</w:t>
      </w:r>
      <w:r w:rsidR="00DD6557" w:rsidRPr="00E4375A">
        <w:rPr>
          <w:rFonts w:cstheme="minorHAnsi"/>
        </w:rPr>
        <w:t>i</w:t>
      </w:r>
      <w:r w:rsidRPr="00E4375A">
        <w:rPr>
          <w:rFonts w:cstheme="minorHAnsi"/>
        </w:rPr>
        <w:t xml:space="preserve"> düzenli olarak kurum çalışanlarına, gerektiğinde tedarikçi ve 3. taraf paydaş çalışanlarına sağlanacak</w:t>
      </w:r>
      <w:r w:rsidR="00DD6557" w:rsidRPr="00E4375A">
        <w:rPr>
          <w:rFonts w:cstheme="minorHAnsi"/>
        </w:rPr>
        <w:t>tır</w:t>
      </w:r>
      <w:r w:rsidRPr="00E4375A">
        <w:rPr>
          <w:rFonts w:cstheme="minorHAnsi"/>
        </w:rPr>
        <w:t xml:space="preserve">. </w:t>
      </w:r>
    </w:p>
    <w:p w:rsidR="007517F3" w:rsidRDefault="006F5419">
      <w:r w:rsidRPr="00E4375A">
        <w:rPr>
          <w:rFonts w:cstheme="minorHAnsi"/>
        </w:rPr>
        <w:t xml:space="preserve"> İklim değişikliğinin önlenmesine ilişkin hususlara aykırı gerçek ya da şüpheli tüm faaliyetler rapor edilerek; tekrarını engelleyici önlemler alınacak</w:t>
      </w:r>
      <w:r w:rsidR="002C2F77" w:rsidRPr="00E4375A">
        <w:rPr>
          <w:rFonts w:cstheme="minorHAnsi"/>
        </w:rPr>
        <w:t>tır</w:t>
      </w:r>
      <w:r w:rsidRPr="00E4375A">
        <w:rPr>
          <w:rFonts w:cstheme="minorHAnsi"/>
        </w:rPr>
        <w:t>. Daha yaşanabilir bir dünya felsefesi ile iklim değişikliği etkilerinin azaltılması, g</w:t>
      </w:r>
      <w:bookmarkStart w:id="0" w:name="_GoBack"/>
      <w:bookmarkEnd w:id="0"/>
      <w:r w:rsidRPr="00E4375A">
        <w:rPr>
          <w:rFonts w:cstheme="minorHAnsi"/>
        </w:rPr>
        <w:t>erekli aksiyon ve önlemlerin alınması, uygulanması, sürdürülmesi ve iyileştirilmesi için gerekli kaynaklar sağlanacaktır.</w:t>
      </w:r>
    </w:p>
    <w:p w:rsidR="00360EFC" w:rsidRDefault="00360EFC"/>
    <w:sectPr w:rsidR="00360EFC" w:rsidSect="00360EFC">
      <w:headerReference w:type="default" r:id="rId7"/>
      <w:footerReference w:type="default" r:id="rId8"/>
      <w:pgSz w:w="11906" w:h="16838"/>
      <w:pgMar w:top="1417" w:right="1417" w:bottom="1417" w:left="1417" w:header="850" w:footer="510"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3EA" w:rsidRDefault="000613EA" w:rsidP="002C2F77">
      <w:pPr>
        <w:spacing w:after="0" w:line="240" w:lineRule="auto"/>
      </w:pPr>
      <w:r>
        <w:separator/>
      </w:r>
    </w:p>
  </w:endnote>
  <w:endnote w:type="continuationSeparator" w:id="0">
    <w:p w:rsidR="000613EA" w:rsidRDefault="000613EA" w:rsidP="002C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490" w:type="dxa"/>
      <w:tblInd w:w="-459" w:type="dxa"/>
      <w:tblLook w:val="04A0" w:firstRow="1" w:lastRow="0" w:firstColumn="1" w:lastColumn="0" w:noHBand="0" w:noVBand="1"/>
    </w:tblPr>
    <w:tblGrid>
      <w:gridCol w:w="4536"/>
      <w:gridCol w:w="3931"/>
      <w:gridCol w:w="2023"/>
    </w:tblGrid>
    <w:tr w:rsidR="00E4375A" w:rsidRPr="002E78F9" w:rsidTr="004B4047">
      <w:tc>
        <w:tcPr>
          <w:tcW w:w="4536" w:type="dxa"/>
        </w:tcPr>
        <w:p w:rsidR="00E4375A" w:rsidRPr="002E78F9" w:rsidRDefault="00E4375A" w:rsidP="004B4047">
          <w:pPr>
            <w:pStyle w:val="Altbilgi"/>
            <w:jc w:val="center"/>
            <w:rPr>
              <w:rFonts w:cstheme="minorHAnsi"/>
              <w:b/>
            </w:rPr>
          </w:pPr>
          <w:r w:rsidRPr="002E78F9">
            <w:rPr>
              <w:rFonts w:cstheme="minorHAnsi"/>
              <w:b/>
            </w:rPr>
            <w:t>HAZIRLAYAN</w:t>
          </w:r>
        </w:p>
      </w:tc>
      <w:tc>
        <w:tcPr>
          <w:tcW w:w="3931" w:type="dxa"/>
        </w:tcPr>
        <w:p w:rsidR="00E4375A" w:rsidRPr="002E78F9" w:rsidRDefault="00E4375A" w:rsidP="004B4047">
          <w:pPr>
            <w:pStyle w:val="Altbilgi"/>
            <w:jc w:val="center"/>
            <w:rPr>
              <w:rFonts w:cstheme="minorHAnsi"/>
              <w:b/>
            </w:rPr>
          </w:pPr>
          <w:r w:rsidRPr="002E78F9">
            <w:rPr>
              <w:rFonts w:cstheme="minorHAnsi"/>
              <w:b/>
            </w:rPr>
            <w:t>ONAYLAYAN</w:t>
          </w:r>
        </w:p>
      </w:tc>
      <w:tc>
        <w:tcPr>
          <w:tcW w:w="2023" w:type="dxa"/>
          <w:vMerge w:val="restart"/>
        </w:tcPr>
        <w:p w:rsidR="00E4375A" w:rsidRPr="002E78F9" w:rsidRDefault="00E4375A" w:rsidP="004B4047">
          <w:pPr>
            <w:pStyle w:val="Altbilgi"/>
            <w:jc w:val="center"/>
            <w:rPr>
              <w:rFonts w:cstheme="minorHAnsi"/>
              <w:b/>
            </w:rPr>
          </w:pPr>
          <w:proofErr w:type="gramStart"/>
          <w:r w:rsidRPr="002E78F9">
            <w:rPr>
              <w:rFonts w:cstheme="minorHAnsi"/>
              <w:b/>
            </w:rPr>
            <w:t>DAHİLİ</w:t>
          </w:r>
          <w:proofErr w:type="gramEnd"/>
        </w:p>
      </w:tc>
    </w:tr>
    <w:tr w:rsidR="00E4375A" w:rsidRPr="002E78F9" w:rsidTr="004B4047">
      <w:trPr>
        <w:trHeight w:val="416"/>
      </w:trPr>
      <w:tc>
        <w:tcPr>
          <w:tcW w:w="4536" w:type="dxa"/>
        </w:tcPr>
        <w:p w:rsidR="00E4375A" w:rsidRPr="002E78F9" w:rsidRDefault="00E4375A" w:rsidP="004B4047">
          <w:pPr>
            <w:pStyle w:val="Altbilgi"/>
            <w:jc w:val="center"/>
            <w:rPr>
              <w:rFonts w:cstheme="minorHAnsi"/>
            </w:rPr>
          </w:pPr>
          <w:r>
            <w:rPr>
              <w:rFonts w:cstheme="minorHAnsi"/>
            </w:rPr>
            <w:t>Kalite Yönetim Sistemleri Müdürü</w:t>
          </w:r>
        </w:p>
      </w:tc>
      <w:tc>
        <w:tcPr>
          <w:tcW w:w="3931" w:type="dxa"/>
        </w:tcPr>
        <w:p w:rsidR="00E4375A" w:rsidRPr="002E78F9" w:rsidRDefault="00E4375A" w:rsidP="004B4047">
          <w:pPr>
            <w:pStyle w:val="Altbilgi"/>
            <w:jc w:val="center"/>
            <w:rPr>
              <w:rFonts w:cstheme="minorHAnsi"/>
            </w:rPr>
          </w:pPr>
          <w:r>
            <w:rPr>
              <w:rFonts w:cstheme="minorHAnsi"/>
            </w:rPr>
            <w:t>Genel Müdür</w:t>
          </w:r>
        </w:p>
      </w:tc>
      <w:tc>
        <w:tcPr>
          <w:tcW w:w="2023" w:type="dxa"/>
          <w:vMerge/>
        </w:tcPr>
        <w:p w:rsidR="00E4375A" w:rsidRPr="002E78F9" w:rsidRDefault="00E4375A" w:rsidP="004B4047">
          <w:pPr>
            <w:pStyle w:val="Altbilgi"/>
            <w:rPr>
              <w:rFonts w:cstheme="minorHAnsi"/>
            </w:rPr>
          </w:pPr>
        </w:p>
      </w:tc>
    </w:tr>
  </w:tbl>
  <w:p w:rsidR="00360EFC" w:rsidRDefault="00360EF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3EA" w:rsidRDefault="000613EA" w:rsidP="002C2F77">
      <w:pPr>
        <w:spacing w:after="0" w:line="240" w:lineRule="auto"/>
      </w:pPr>
      <w:r>
        <w:separator/>
      </w:r>
    </w:p>
  </w:footnote>
  <w:footnote w:type="continuationSeparator" w:id="0">
    <w:p w:rsidR="000613EA" w:rsidRDefault="000613EA" w:rsidP="002C2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2"/>
      <w:gridCol w:w="6153"/>
      <w:gridCol w:w="1701"/>
      <w:gridCol w:w="1134"/>
    </w:tblGrid>
    <w:tr w:rsidR="002C2F77" w:rsidRPr="00F6625E" w:rsidTr="002C2F77">
      <w:trPr>
        <w:cantSplit/>
        <w:trHeight w:val="274"/>
      </w:trPr>
      <w:tc>
        <w:tcPr>
          <w:tcW w:w="1502" w:type="dxa"/>
          <w:vMerge w:val="restart"/>
          <w:vAlign w:val="center"/>
        </w:tcPr>
        <w:p w:rsidR="002C2F77" w:rsidRPr="009448ED" w:rsidRDefault="002C2F77" w:rsidP="002C2F77">
          <w:pPr>
            <w:pStyle w:val="stbilgi"/>
            <w:ind w:right="22"/>
            <w:jc w:val="center"/>
          </w:pPr>
          <w:r>
            <w:rPr>
              <w:noProof/>
              <w:lang w:eastAsia="tr-TR"/>
            </w:rPr>
            <w:drawing>
              <wp:inline distT="0" distB="0" distL="0" distR="0" wp14:anchorId="086F7FD2" wp14:editId="3887501D">
                <wp:extent cx="838200" cy="6381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0834" t="22643" r="17659" b="17075"/>
                        <a:stretch>
                          <a:fillRect/>
                        </a:stretch>
                      </pic:blipFill>
                      <pic:spPr bwMode="auto">
                        <a:xfrm>
                          <a:off x="0" y="0"/>
                          <a:ext cx="838200" cy="638175"/>
                        </a:xfrm>
                        <a:prstGeom prst="rect">
                          <a:avLst/>
                        </a:prstGeom>
                        <a:noFill/>
                        <a:ln>
                          <a:noFill/>
                        </a:ln>
                      </pic:spPr>
                    </pic:pic>
                  </a:graphicData>
                </a:graphic>
              </wp:inline>
            </w:drawing>
          </w:r>
        </w:p>
      </w:tc>
      <w:tc>
        <w:tcPr>
          <w:tcW w:w="6153" w:type="dxa"/>
          <w:vMerge w:val="restart"/>
          <w:vAlign w:val="center"/>
        </w:tcPr>
        <w:p w:rsidR="002C2F77" w:rsidRPr="007D2FF3" w:rsidRDefault="002C2F77" w:rsidP="007167E7">
          <w:pPr>
            <w:pStyle w:val="stbilgi"/>
            <w:ind w:right="22"/>
            <w:jc w:val="center"/>
            <w:rPr>
              <w:b/>
              <w:sz w:val="28"/>
              <w:szCs w:val="28"/>
            </w:rPr>
          </w:pPr>
          <w:r>
            <w:rPr>
              <w:rFonts w:ascii="Calibri" w:hAnsi="Calibri" w:cs="Calibri"/>
              <w:b/>
              <w:sz w:val="28"/>
              <w:szCs w:val="28"/>
            </w:rPr>
            <w:t>İKLİM DEĞİŞİKLİĞİ POLİTİKASI</w:t>
          </w:r>
        </w:p>
      </w:tc>
      <w:tc>
        <w:tcPr>
          <w:tcW w:w="1701" w:type="dxa"/>
          <w:vAlign w:val="center"/>
        </w:tcPr>
        <w:p w:rsidR="002C2F77" w:rsidRPr="007611A9" w:rsidRDefault="002C2F77" w:rsidP="007167E7">
          <w:pPr>
            <w:pStyle w:val="stbilgi"/>
            <w:ind w:right="22"/>
            <w:rPr>
              <w:rFonts w:ascii="Calibri" w:hAnsi="Calibri" w:cs="Calibri"/>
              <w:b/>
              <w:sz w:val="18"/>
              <w:szCs w:val="18"/>
            </w:rPr>
          </w:pPr>
          <w:r w:rsidRPr="007611A9">
            <w:rPr>
              <w:rFonts w:ascii="Calibri" w:hAnsi="Calibri" w:cs="Calibri"/>
              <w:b/>
              <w:sz w:val="18"/>
              <w:szCs w:val="18"/>
            </w:rPr>
            <w:t>Doküman No</w:t>
          </w:r>
        </w:p>
      </w:tc>
      <w:tc>
        <w:tcPr>
          <w:tcW w:w="1134" w:type="dxa"/>
          <w:vAlign w:val="center"/>
        </w:tcPr>
        <w:p w:rsidR="002C2F77" w:rsidRPr="007611A9" w:rsidRDefault="006E1A82" w:rsidP="006E1A82">
          <w:pPr>
            <w:pStyle w:val="stbilgi"/>
            <w:ind w:right="22"/>
            <w:jc w:val="center"/>
            <w:rPr>
              <w:rFonts w:ascii="Calibri" w:hAnsi="Calibri" w:cs="Calibri"/>
              <w:b/>
              <w:sz w:val="18"/>
              <w:szCs w:val="18"/>
            </w:rPr>
          </w:pPr>
          <w:r>
            <w:rPr>
              <w:rFonts w:ascii="Calibri" w:hAnsi="Calibri" w:cs="Calibri"/>
              <w:b/>
              <w:sz w:val="18"/>
              <w:szCs w:val="18"/>
            </w:rPr>
            <w:t>PT</w:t>
          </w:r>
          <w:r w:rsidR="002C2F77">
            <w:rPr>
              <w:rFonts w:ascii="Calibri" w:hAnsi="Calibri" w:cs="Calibri"/>
              <w:b/>
              <w:sz w:val="18"/>
              <w:szCs w:val="18"/>
            </w:rPr>
            <w:t>-</w:t>
          </w:r>
          <w:r w:rsidR="00360EFC">
            <w:rPr>
              <w:rFonts w:ascii="Calibri" w:hAnsi="Calibri" w:cs="Calibri"/>
              <w:b/>
              <w:sz w:val="18"/>
              <w:szCs w:val="18"/>
            </w:rPr>
            <w:t>EY-0</w:t>
          </w:r>
          <w:r>
            <w:rPr>
              <w:rFonts w:ascii="Calibri" w:hAnsi="Calibri" w:cs="Calibri"/>
              <w:b/>
              <w:sz w:val="18"/>
              <w:szCs w:val="18"/>
            </w:rPr>
            <w:t>32</w:t>
          </w:r>
        </w:p>
      </w:tc>
    </w:tr>
    <w:tr w:rsidR="002C2F77" w:rsidRPr="00F6625E" w:rsidTr="002C2F77">
      <w:trPr>
        <w:cantSplit/>
        <w:trHeight w:val="275"/>
      </w:trPr>
      <w:tc>
        <w:tcPr>
          <w:tcW w:w="1502" w:type="dxa"/>
          <w:vMerge/>
        </w:tcPr>
        <w:p w:rsidR="002C2F77" w:rsidRPr="00F6625E" w:rsidRDefault="002C2F77" w:rsidP="007167E7">
          <w:pPr>
            <w:pStyle w:val="stbilgi"/>
            <w:ind w:right="22"/>
            <w:rPr>
              <w:rFonts w:ascii="Bookman Old Style" w:hAnsi="Bookman Old Style"/>
              <w:noProof/>
              <w:sz w:val="20"/>
            </w:rPr>
          </w:pPr>
        </w:p>
      </w:tc>
      <w:tc>
        <w:tcPr>
          <w:tcW w:w="6153" w:type="dxa"/>
          <w:vMerge/>
        </w:tcPr>
        <w:p w:rsidR="002C2F77" w:rsidRPr="00084F4E" w:rsidRDefault="002C2F77" w:rsidP="007167E7">
          <w:pPr>
            <w:pStyle w:val="stbilgi"/>
            <w:ind w:right="22"/>
            <w:jc w:val="center"/>
            <w:rPr>
              <w:sz w:val="36"/>
              <w:szCs w:val="36"/>
            </w:rPr>
          </w:pPr>
        </w:p>
      </w:tc>
      <w:tc>
        <w:tcPr>
          <w:tcW w:w="1701" w:type="dxa"/>
          <w:vAlign w:val="center"/>
        </w:tcPr>
        <w:p w:rsidR="002C2F77" w:rsidRPr="007611A9" w:rsidRDefault="002C2F77" w:rsidP="007167E7">
          <w:pPr>
            <w:pStyle w:val="stbilgi"/>
            <w:ind w:right="22"/>
            <w:rPr>
              <w:rFonts w:ascii="Calibri" w:hAnsi="Calibri" w:cs="Calibri"/>
              <w:b/>
              <w:sz w:val="18"/>
              <w:szCs w:val="18"/>
            </w:rPr>
          </w:pPr>
          <w:r w:rsidRPr="007611A9">
            <w:rPr>
              <w:rFonts w:ascii="Calibri" w:hAnsi="Calibri" w:cs="Calibri"/>
              <w:b/>
              <w:sz w:val="18"/>
              <w:szCs w:val="18"/>
            </w:rPr>
            <w:t>Revizyon No</w:t>
          </w:r>
        </w:p>
      </w:tc>
      <w:tc>
        <w:tcPr>
          <w:tcW w:w="1134" w:type="dxa"/>
          <w:vAlign w:val="center"/>
        </w:tcPr>
        <w:p w:rsidR="002C2F77" w:rsidRPr="007611A9" w:rsidRDefault="002C2F77" w:rsidP="007167E7">
          <w:pPr>
            <w:pStyle w:val="stbilgi"/>
            <w:ind w:right="22"/>
            <w:jc w:val="center"/>
            <w:rPr>
              <w:rFonts w:ascii="Calibri" w:hAnsi="Calibri" w:cs="Calibri"/>
              <w:b/>
              <w:sz w:val="18"/>
              <w:szCs w:val="18"/>
            </w:rPr>
          </w:pPr>
          <w:r w:rsidRPr="007611A9">
            <w:rPr>
              <w:rFonts w:ascii="Calibri" w:hAnsi="Calibri" w:cs="Calibri"/>
              <w:b/>
              <w:sz w:val="18"/>
              <w:szCs w:val="18"/>
            </w:rPr>
            <w:t>00</w:t>
          </w:r>
        </w:p>
      </w:tc>
    </w:tr>
    <w:tr w:rsidR="002C2F77" w:rsidRPr="00F6625E" w:rsidTr="002C2F77">
      <w:trPr>
        <w:cantSplit/>
        <w:trHeight w:val="272"/>
      </w:trPr>
      <w:tc>
        <w:tcPr>
          <w:tcW w:w="1502" w:type="dxa"/>
          <w:vMerge/>
        </w:tcPr>
        <w:p w:rsidR="002C2F77" w:rsidRPr="00F6625E" w:rsidRDefault="002C2F77" w:rsidP="007167E7">
          <w:pPr>
            <w:pStyle w:val="stbilgi"/>
            <w:ind w:right="22"/>
            <w:rPr>
              <w:rFonts w:ascii="Bookman Old Style" w:hAnsi="Bookman Old Style"/>
            </w:rPr>
          </w:pPr>
        </w:p>
      </w:tc>
      <w:tc>
        <w:tcPr>
          <w:tcW w:w="6153" w:type="dxa"/>
          <w:vMerge/>
          <w:vAlign w:val="center"/>
        </w:tcPr>
        <w:p w:rsidR="002C2F77" w:rsidRPr="00084F4E" w:rsidRDefault="002C2F77" w:rsidP="007167E7">
          <w:pPr>
            <w:pStyle w:val="stbilgi"/>
            <w:ind w:right="22"/>
            <w:jc w:val="center"/>
            <w:rPr>
              <w:b/>
              <w:sz w:val="36"/>
              <w:szCs w:val="36"/>
            </w:rPr>
          </w:pPr>
        </w:p>
      </w:tc>
      <w:tc>
        <w:tcPr>
          <w:tcW w:w="1701" w:type="dxa"/>
          <w:vAlign w:val="center"/>
        </w:tcPr>
        <w:p w:rsidR="002C2F77" w:rsidRPr="007611A9" w:rsidRDefault="002C2F77" w:rsidP="007167E7">
          <w:pPr>
            <w:pStyle w:val="stbilgi"/>
            <w:ind w:right="22"/>
            <w:rPr>
              <w:rFonts w:ascii="Calibri" w:hAnsi="Calibri" w:cs="Calibri"/>
              <w:b/>
              <w:sz w:val="18"/>
              <w:szCs w:val="18"/>
            </w:rPr>
          </w:pPr>
          <w:r w:rsidRPr="007611A9">
            <w:rPr>
              <w:rFonts w:ascii="Calibri" w:hAnsi="Calibri" w:cs="Calibri"/>
              <w:b/>
              <w:sz w:val="18"/>
              <w:szCs w:val="18"/>
            </w:rPr>
            <w:t>Revizyon Tarihi</w:t>
          </w:r>
        </w:p>
      </w:tc>
      <w:tc>
        <w:tcPr>
          <w:tcW w:w="1134" w:type="dxa"/>
          <w:vAlign w:val="center"/>
        </w:tcPr>
        <w:p w:rsidR="002C2F77" w:rsidRPr="007611A9" w:rsidRDefault="002C2F77" w:rsidP="007167E7">
          <w:pPr>
            <w:pStyle w:val="stbilgi"/>
            <w:ind w:right="22"/>
            <w:jc w:val="center"/>
            <w:rPr>
              <w:rFonts w:ascii="Calibri" w:hAnsi="Calibri" w:cs="Calibri"/>
              <w:b/>
              <w:sz w:val="18"/>
              <w:szCs w:val="18"/>
            </w:rPr>
          </w:pPr>
          <w:r>
            <w:rPr>
              <w:rFonts w:ascii="Calibri" w:hAnsi="Calibri" w:cs="Calibri"/>
              <w:b/>
              <w:sz w:val="18"/>
              <w:szCs w:val="18"/>
            </w:rPr>
            <w:t>-</w:t>
          </w:r>
        </w:p>
      </w:tc>
    </w:tr>
    <w:tr w:rsidR="002C2F77" w:rsidRPr="00F6625E" w:rsidTr="002C2F77">
      <w:trPr>
        <w:cantSplit/>
        <w:trHeight w:val="304"/>
      </w:trPr>
      <w:tc>
        <w:tcPr>
          <w:tcW w:w="1502" w:type="dxa"/>
          <w:vMerge/>
        </w:tcPr>
        <w:p w:rsidR="002C2F77" w:rsidRPr="00F6625E" w:rsidRDefault="002C2F77" w:rsidP="007167E7">
          <w:pPr>
            <w:pStyle w:val="stbilgi"/>
            <w:ind w:right="22"/>
            <w:rPr>
              <w:rFonts w:ascii="Bookman Old Style" w:hAnsi="Bookman Old Style"/>
            </w:rPr>
          </w:pPr>
        </w:p>
      </w:tc>
      <w:tc>
        <w:tcPr>
          <w:tcW w:w="6153" w:type="dxa"/>
          <w:vMerge/>
          <w:vAlign w:val="center"/>
        </w:tcPr>
        <w:p w:rsidR="002C2F77" w:rsidRPr="00084F4E" w:rsidRDefault="002C2F77" w:rsidP="007167E7">
          <w:pPr>
            <w:pStyle w:val="stbilgi"/>
            <w:ind w:right="22"/>
            <w:jc w:val="center"/>
            <w:rPr>
              <w:b/>
              <w:sz w:val="28"/>
              <w:szCs w:val="28"/>
            </w:rPr>
          </w:pPr>
        </w:p>
      </w:tc>
      <w:tc>
        <w:tcPr>
          <w:tcW w:w="1701" w:type="dxa"/>
          <w:vAlign w:val="center"/>
        </w:tcPr>
        <w:p w:rsidR="002C2F77" w:rsidRPr="007611A9" w:rsidRDefault="002C2F77" w:rsidP="007167E7">
          <w:pPr>
            <w:pStyle w:val="stbilgi"/>
            <w:ind w:right="22"/>
            <w:rPr>
              <w:rFonts w:ascii="Calibri" w:hAnsi="Calibri" w:cs="Calibri"/>
              <w:sz w:val="18"/>
              <w:szCs w:val="18"/>
            </w:rPr>
          </w:pPr>
          <w:r w:rsidRPr="007611A9">
            <w:rPr>
              <w:rFonts w:ascii="Calibri" w:hAnsi="Calibri" w:cs="Calibri"/>
              <w:b/>
              <w:sz w:val="18"/>
              <w:szCs w:val="18"/>
            </w:rPr>
            <w:t>Yayın Tarihi</w:t>
          </w:r>
        </w:p>
      </w:tc>
      <w:tc>
        <w:tcPr>
          <w:tcW w:w="1134" w:type="dxa"/>
          <w:vAlign w:val="center"/>
        </w:tcPr>
        <w:p w:rsidR="002C2F77" w:rsidRPr="007611A9" w:rsidRDefault="00B656B9" w:rsidP="007167E7">
          <w:pPr>
            <w:pStyle w:val="stbilgi"/>
            <w:ind w:right="22"/>
            <w:jc w:val="center"/>
            <w:rPr>
              <w:rFonts w:ascii="Calibri" w:hAnsi="Calibri" w:cs="Calibri"/>
              <w:b/>
              <w:sz w:val="18"/>
              <w:szCs w:val="18"/>
            </w:rPr>
          </w:pPr>
          <w:r>
            <w:rPr>
              <w:rFonts w:ascii="Calibri" w:hAnsi="Calibri" w:cs="Calibri"/>
              <w:b/>
              <w:sz w:val="18"/>
              <w:szCs w:val="18"/>
            </w:rPr>
            <w:t>23</w:t>
          </w:r>
          <w:r w:rsidR="00E4375A">
            <w:rPr>
              <w:rFonts w:ascii="Calibri" w:hAnsi="Calibri" w:cs="Calibri"/>
              <w:b/>
              <w:sz w:val="18"/>
              <w:szCs w:val="18"/>
            </w:rPr>
            <w:t>.12.2024</w:t>
          </w:r>
        </w:p>
      </w:tc>
    </w:tr>
  </w:tbl>
  <w:p w:rsidR="002C2F77" w:rsidRDefault="002C2F7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19"/>
    <w:rsid w:val="000613EA"/>
    <w:rsid w:val="00082746"/>
    <w:rsid w:val="000A4346"/>
    <w:rsid w:val="001C659F"/>
    <w:rsid w:val="00290FB3"/>
    <w:rsid w:val="002C2F77"/>
    <w:rsid w:val="00304F54"/>
    <w:rsid w:val="00360EFC"/>
    <w:rsid w:val="00362763"/>
    <w:rsid w:val="00391260"/>
    <w:rsid w:val="0064741C"/>
    <w:rsid w:val="00650232"/>
    <w:rsid w:val="006574E1"/>
    <w:rsid w:val="0067784E"/>
    <w:rsid w:val="006E1A82"/>
    <w:rsid w:val="006F1D74"/>
    <w:rsid w:val="006F5419"/>
    <w:rsid w:val="00745BD6"/>
    <w:rsid w:val="007517F3"/>
    <w:rsid w:val="007A1C8E"/>
    <w:rsid w:val="008C16B6"/>
    <w:rsid w:val="008F4B94"/>
    <w:rsid w:val="009B765B"/>
    <w:rsid w:val="00A078B1"/>
    <w:rsid w:val="00A3794C"/>
    <w:rsid w:val="00B656B9"/>
    <w:rsid w:val="00D75B8F"/>
    <w:rsid w:val="00DD32D7"/>
    <w:rsid w:val="00DD6557"/>
    <w:rsid w:val="00E3099E"/>
    <w:rsid w:val="00E4375A"/>
    <w:rsid w:val="00F228D4"/>
    <w:rsid w:val="00FE6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2F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2F77"/>
  </w:style>
  <w:style w:type="paragraph" w:styleId="Altbilgi">
    <w:name w:val="footer"/>
    <w:basedOn w:val="Normal"/>
    <w:link w:val="AltbilgiChar"/>
    <w:uiPriority w:val="99"/>
    <w:unhideWhenUsed/>
    <w:rsid w:val="002C2F7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2F77"/>
  </w:style>
  <w:style w:type="paragraph" w:styleId="BalonMetni">
    <w:name w:val="Balloon Text"/>
    <w:basedOn w:val="Normal"/>
    <w:link w:val="BalonMetniChar"/>
    <w:uiPriority w:val="99"/>
    <w:semiHidden/>
    <w:unhideWhenUsed/>
    <w:rsid w:val="002C2F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F77"/>
    <w:rPr>
      <w:rFonts w:ascii="Tahoma" w:hAnsi="Tahoma" w:cs="Tahoma"/>
      <w:sz w:val="16"/>
      <w:szCs w:val="16"/>
    </w:rPr>
  </w:style>
  <w:style w:type="table" w:styleId="TabloKlavuzu">
    <w:name w:val="Table Grid"/>
    <w:basedOn w:val="NormalTablo"/>
    <w:uiPriority w:val="59"/>
    <w:rsid w:val="00E4375A"/>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2F7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2F77"/>
  </w:style>
  <w:style w:type="paragraph" w:styleId="Altbilgi">
    <w:name w:val="footer"/>
    <w:basedOn w:val="Normal"/>
    <w:link w:val="AltbilgiChar"/>
    <w:uiPriority w:val="99"/>
    <w:unhideWhenUsed/>
    <w:rsid w:val="002C2F7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2F77"/>
  </w:style>
  <w:style w:type="paragraph" w:styleId="BalonMetni">
    <w:name w:val="Balloon Text"/>
    <w:basedOn w:val="Normal"/>
    <w:link w:val="BalonMetniChar"/>
    <w:uiPriority w:val="99"/>
    <w:semiHidden/>
    <w:unhideWhenUsed/>
    <w:rsid w:val="002C2F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F77"/>
    <w:rPr>
      <w:rFonts w:ascii="Tahoma" w:hAnsi="Tahoma" w:cs="Tahoma"/>
      <w:sz w:val="16"/>
      <w:szCs w:val="16"/>
    </w:rPr>
  </w:style>
  <w:style w:type="table" w:styleId="TabloKlavuzu">
    <w:name w:val="Table Grid"/>
    <w:basedOn w:val="NormalTablo"/>
    <w:uiPriority w:val="59"/>
    <w:rsid w:val="00E4375A"/>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580</Words>
  <Characters>3307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 Çelebi</dc:creator>
  <cp:lastModifiedBy>Sena Çelebi</cp:lastModifiedBy>
  <cp:revision>5</cp:revision>
  <dcterms:created xsi:type="dcterms:W3CDTF">2024-12-31T06:04:00Z</dcterms:created>
  <dcterms:modified xsi:type="dcterms:W3CDTF">2024-12-31T11:18:00Z</dcterms:modified>
</cp:coreProperties>
</file>